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D3" w:rsidRPr="00B53CD3" w:rsidRDefault="00B53CD3" w:rsidP="00B53C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3C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Изолента ПВХ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0672D">
        <w:rPr>
          <w:rStyle w:val="a3"/>
          <w:rFonts w:ascii="Times New Roman" w:hAnsi="Times New Roman" w:cs="Times New Roman"/>
          <w:sz w:val="32"/>
          <w:szCs w:val="32"/>
        </w:rPr>
        <w:t>ГОСТ 16214-</w:t>
      </w:r>
      <w:r w:rsidRPr="00B53CD3">
        <w:rPr>
          <w:rStyle w:val="a3"/>
          <w:rFonts w:ascii="Times New Roman" w:hAnsi="Times New Roman" w:cs="Times New Roman"/>
          <w:sz w:val="32"/>
          <w:szCs w:val="32"/>
        </w:rPr>
        <w:t>86</w:t>
      </w:r>
    </w:p>
    <w:p w:rsidR="005A3027" w:rsidRDefault="00B53CD3">
      <w:r>
        <w:rPr>
          <w:noProof/>
          <w:lang w:eastAsia="ru-RU"/>
        </w:rPr>
        <w:drawing>
          <wp:inline distT="0" distB="0" distL="0" distR="0" wp14:anchorId="121FC69A" wp14:editId="177BF58C">
            <wp:extent cx="5940425" cy="2183980"/>
            <wp:effectExtent l="0" t="0" r="3175" b="6985"/>
            <wp:docPr id="1" name="Рисунок 1" descr="http://edmenergo.by/image/data/k-k-p/30935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menergo.by/image/data/k-k-p/30935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D3" w:rsidRPr="00B53CD3" w:rsidRDefault="007E4098">
      <w:pPr>
        <w:rPr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И</w:t>
      </w:r>
      <w:r w:rsidR="00B53CD3" w:rsidRPr="00B53CD3">
        <w:rPr>
          <w:rStyle w:val="ff2"/>
          <w:rFonts w:ascii="Times New Roman" w:hAnsi="Times New Roman" w:cs="Times New Roman"/>
          <w:sz w:val="24"/>
          <w:szCs w:val="24"/>
        </w:rPr>
        <w:t xml:space="preserve">меет стандартный вид рулона ленты, шириной около </w:t>
      </w:r>
      <w:r w:rsidR="00B53CD3" w:rsidRPr="00B53CD3">
        <w:rPr>
          <w:rStyle w:val="ff2"/>
          <w:rFonts w:ascii="Times New Roman" w:hAnsi="Times New Roman" w:cs="Times New Roman"/>
          <w:b/>
          <w:sz w:val="24"/>
          <w:szCs w:val="24"/>
        </w:rPr>
        <w:t>14-19 мм</w:t>
      </w:r>
      <w:r w:rsidR="00B53CD3" w:rsidRPr="00B53CD3">
        <w:rPr>
          <w:rStyle w:val="ff2"/>
          <w:rFonts w:ascii="Times New Roman" w:hAnsi="Times New Roman" w:cs="Times New Roman"/>
          <w:sz w:val="24"/>
          <w:szCs w:val="24"/>
        </w:rPr>
        <w:t>. На одной из сторон нанесено липкое покрытие из акрилового или каучукового клея.</w:t>
      </w:r>
    </w:p>
    <w:p w:rsidR="00B53CD3" w:rsidRPr="00B53CD3" w:rsidRDefault="00B53CD3">
      <w:pPr>
        <w:rPr>
          <w:rFonts w:ascii="Times New Roman" w:hAnsi="Times New Roman" w:cs="Times New Roman"/>
          <w:sz w:val="24"/>
          <w:szCs w:val="24"/>
        </w:rPr>
      </w:pPr>
      <w:r w:rsidRPr="00B53CD3">
        <w:rPr>
          <w:rStyle w:val="up"/>
          <w:rFonts w:ascii="Times New Roman" w:hAnsi="Times New Roman" w:cs="Times New Roman"/>
          <w:sz w:val="24"/>
          <w:szCs w:val="24"/>
        </w:rPr>
        <w:t>Работоспособна</w:t>
      </w:r>
      <w:r w:rsidRPr="00B53CD3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53CD3">
        <w:rPr>
          <w:rFonts w:ascii="Times New Roman" w:hAnsi="Times New Roman" w:cs="Times New Roman"/>
          <w:b/>
          <w:sz w:val="24"/>
          <w:szCs w:val="24"/>
        </w:rPr>
        <w:t>t° от -50°С до +70°С</w:t>
      </w:r>
      <w:r w:rsidRPr="00B53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CD3" w:rsidRDefault="00B53CD3">
      <w:pPr>
        <w:rPr>
          <w:rFonts w:ascii="Times New Roman" w:hAnsi="Times New Roman" w:cs="Times New Roman"/>
          <w:sz w:val="24"/>
          <w:szCs w:val="24"/>
        </w:rPr>
      </w:pPr>
      <w:r w:rsidRPr="00B53CD3">
        <w:rPr>
          <w:rStyle w:val="a3"/>
          <w:rFonts w:ascii="Times New Roman" w:hAnsi="Times New Roman" w:cs="Times New Roman"/>
          <w:sz w:val="24"/>
          <w:szCs w:val="24"/>
        </w:rPr>
        <w:t xml:space="preserve">Изолента ПВХ имеет следующие цветовые </w:t>
      </w:r>
      <w:proofErr w:type="gramStart"/>
      <w:r w:rsidRPr="00B53CD3">
        <w:rPr>
          <w:rStyle w:val="a3"/>
          <w:rFonts w:ascii="Times New Roman" w:hAnsi="Times New Roman" w:cs="Times New Roman"/>
          <w:sz w:val="24"/>
          <w:szCs w:val="24"/>
        </w:rPr>
        <w:t>исполнения:</w:t>
      </w:r>
      <w:r w:rsidRPr="00B53CD3">
        <w:rPr>
          <w:rFonts w:ascii="Times New Roman" w:hAnsi="Times New Roman" w:cs="Times New Roman"/>
          <w:sz w:val="24"/>
          <w:szCs w:val="24"/>
        </w:rPr>
        <w:br/>
        <w:t>неокрашенная</w:t>
      </w:r>
      <w:proofErr w:type="gramEnd"/>
      <w:r w:rsidRPr="00B53CD3">
        <w:rPr>
          <w:rFonts w:ascii="Times New Roman" w:hAnsi="Times New Roman" w:cs="Times New Roman"/>
          <w:sz w:val="24"/>
          <w:szCs w:val="24"/>
        </w:rPr>
        <w:t>, белая, черная, серая, светло-синяя, голубая, фиолетовая, красная, розовая, оранжевая, коричневая, желтая, зеленая, синяя.</w:t>
      </w:r>
    </w:p>
    <w:p w:rsidR="00B0672D" w:rsidRPr="00B0672D" w:rsidRDefault="00B0672D">
      <w:pPr>
        <w:rPr>
          <w:rFonts w:ascii="Times New Roman" w:hAnsi="Times New Roman" w:cs="Times New Roman"/>
          <w:b/>
          <w:sz w:val="24"/>
          <w:szCs w:val="24"/>
        </w:rPr>
      </w:pPr>
      <w:r w:rsidRPr="00B0672D">
        <w:rPr>
          <w:rFonts w:ascii="Times New Roman" w:hAnsi="Times New Roman" w:cs="Times New Roman"/>
          <w:b/>
        </w:rPr>
        <w:t>Гарантийный срок хранения ленты - 10 лет со дня изготовления.</w:t>
      </w:r>
    </w:p>
    <w:p w:rsidR="00B53CD3" w:rsidRDefault="00B53CD3">
      <w:pPr>
        <w:rPr>
          <w:rStyle w:val="ff2"/>
        </w:rPr>
      </w:pPr>
    </w:p>
    <w:p w:rsidR="007E4098" w:rsidRDefault="007E4098">
      <w:pPr>
        <w:rPr>
          <w:rStyle w:val="up"/>
          <w:rFonts w:ascii="Times New Roman" w:hAnsi="Times New Roman" w:cs="Times New Roman"/>
          <w:b/>
          <w:sz w:val="32"/>
          <w:szCs w:val="32"/>
        </w:rPr>
      </w:pPr>
      <w:r>
        <w:rPr>
          <w:rStyle w:val="up"/>
          <w:rFonts w:ascii="Times New Roman" w:hAnsi="Times New Roman" w:cs="Times New Roman"/>
          <w:b/>
          <w:sz w:val="32"/>
          <w:szCs w:val="32"/>
        </w:rPr>
        <w:br w:type="page"/>
      </w:r>
    </w:p>
    <w:p w:rsidR="00B53CD3" w:rsidRPr="00B53CD3" w:rsidRDefault="00B53CD3">
      <w:pPr>
        <w:rPr>
          <w:rFonts w:ascii="Times New Roman" w:hAnsi="Times New Roman" w:cs="Times New Roman"/>
          <w:b/>
          <w:sz w:val="32"/>
          <w:szCs w:val="32"/>
        </w:rPr>
      </w:pPr>
      <w:r w:rsidRPr="00B53CD3">
        <w:rPr>
          <w:rStyle w:val="up"/>
          <w:rFonts w:ascii="Times New Roman" w:hAnsi="Times New Roman" w:cs="Times New Roman"/>
          <w:b/>
          <w:sz w:val="32"/>
          <w:szCs w:val="32"/>
        </w:rPr>
        <w:t>Изолента ХБ (хлопчатобумажная) ГОСТ 2162-97</w:t>
      </w:r>
      <w:r w:rsidRPr="00B53CD3">
        <w:rPr>
          <w:rFonts w:ascii="Times New Roman" w:hAnsi="Times New Roman" w:cs="Times New Roman"/>
          <w:b/>
          <w:sz w:val="32"/>
          <w:szCs w:val="32"/>
        </w:rPr>
        <w:t xml:space="preserve"> (ранее ГОСТ 2162-78)</w:t>
      </w:r>
    </w:p>
    <w:p w:rsidR="00B53CD3" w:rsidRPr="00B53CD3" w:rsidRDefault="00B53CD3">
      <w:pPr>
        <w:rPr>
          <w:rStyle w:val="ff2"/>
          <w:b/>
        </w:rPr>
      </w:pPr>
      <w:r>
        <w:rPr>
          <w:noProof/>
          <w:lang w:eastAsia="ru-RU"/>
        </w:rPr>
        <w:drawing>
          <wp:inline distT="0" distB="0" distL="0" distR="0" wp14:anchorId="5EA25C5E" wp14:editId="65FC7E03">
            <wp:extent cx="3314700" cy="2201167"/>
            <wp:effectExtent l="0" t="0" r="0" b="8890"/>
            <wp:docPr id="2" name="Рисунок 2" descr="https://g-a.d-cd.net/6726d4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-a.d-cd.net/6726d42s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0" cy="220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D3" w:rsidRDefault="00B0672D">
      <w:pPr>
        <w:rPr>
          <w:rStyle w:val="ff2"/>
        </w:rPr>
      </w:pPr>
      <w:bookmarkStart w:id="0" w:name="_GoBack"/>
      <w:bookmarkEnd w:id="0"/>
      <w:r w:rsidRPr="00B0672D">
        <w:rPr>
          <w:rStyle w:val="ff2"/>
          <w:b/>
        </w:rPr>
        <w:t>Изолента ХБ выпускается следующих марок: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i/>
        </w:rPr>
        <w:t>для промышленного использования: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b/>
        </w:rPr>
        <w:t>1 ПОЛ</w:t>
      </w:r>
      <w:r>
        <w:rPr>
          <w:rStyle w:val="ff2"/>
        </w:rPr>
        <w:t xml:space="preserve"> – односторонняя обычной липкости;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b/>
        </w:rPr>
        <w:t>2 ПОЛ</w:t>
      </w:r>
      <w:r>
        <w:rPr>
          <w:rStyle w:val="ff2"/>
        </w:rPr>
        <w:t xml:space="preserve"> – двусторонняя обычной липкости;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b/>
        </w:rPr>
        <w:t>2 ППЛ</w:t>
      </w:r>
      <w:r>
        <w:rPr>
          <w:rStyle w:val="ff2"/>
        </w:rPr>
        <w:t xml:space="preserve"> – двусторонняя повышенной липкости;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i/>
        </w:rPr>
        <w:t>для широкого применения: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b/>
        </w:rPr>
        <w:t>1 ШОЛ</w:t>
      </w:r>
      <w:r>
        <w:rPr>
          <w:rStyle w:val="ff2"/>
        </w:rPr>
        <w:t xml:space="preserve"> - односторонняя обычной липкости;</w:t>
      </w:r>
      <w:r>
        <w:rPr>
          <w:rStyle w:val="ff1"/>
        </w:rPr>
        <w:t xml:space="preserve"> </w:t>
      </w:r>
      <w:r>
        <w:br/>
      </w:r>
      <w:r w:rsidRPr="00B0672D">
        <w:rPr>
          <w:rStyle w:val="ff2"/>
          <w:b/>
        </w:rPr>
        <w:t>2 ШОЛ</w:t>
      </w:r>
      <w:r>
        <w:rPr>
          <w:rStyle w:val="ff2"/>
        </w:rPr>
        <w:t xml:space="preserve"> - двусторонняя обычной липкости.</w:t>
      </w:r>
    </w:p>
    <w:p w:rsidR="00B0672D" w:rsidRPr="00B0672D" w:rsidRDefault="00B0672D">
      <w:pPr>
        <w:rPr>
          <w:rFonts w:ascii="Times New Roman" w:hAnsi="Times New Roman" w:cs="Times New Roman"/>
          <w:b/>
          <w:sz w:val="24"/>
          <w:szCs w:val="24"/>
        </w:rPr>
      </w:pPr>
      <w:r w:rsidRPr="00B0672D">
        <w:rPr>
          <w:b/>
        </w:rPr>
        <w:t>Гарантийный срок хранения ленты - 12 мес</w:t>
      </w:r>
      <w:r>
        <w:rPr>
          <w:b/>
        </w:rPr>
        <w:t>яцев</w:t>
      </w:r>
      <w:r w:rsidRPr="00B0672D">
        <w:rPr>
          <w:b/>
        </w:rPr>
        <w:t xml:space="preserve"> со дня изготовления.</w:t>
      </w:r>
    </w:p>
    <w:sectPr w:rsidR="00B0672D" w:rsidRPr="00B0672D" w:rsidSect="007E40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D3"/>
    <w:rsid w:val="005A3027"/>
    <w:rsid w:val="00697F2F"/>
    <w:rsid w:val="007E4098"/>
    <w:rsid w:val="00B0672D"/>
    <w:rsid w:val="00B53CD3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E158-46E8-4416-936F-3991091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CD3"/>
    <w:rPr>
      <w:b/>
      <w:bCs/>
    </w:rPr>
  </w:style>
  <w:style w:type="character" w:customStyle="1" w:styleId="up">
    <w:name w:val="up"/>
    <w:basedOn w:val="a0"/>
    <w:rsid w:val="00B53CD3"/>
  </w:style>
  <w:style w:type="character" w:customStyle="1" w:styleId="ff2">
    <w:name w:val="ff2"/>
    <w:basedOn w:val="a0"/>
    <w:rsid w:val="00B53CD3"/>
  </w:style>
  <w:style w:type="character" w:customStyle="1" w:styleId="ff1">
    <w:name w:val="ff1"/>
    <w:basedOn w:val="a0"/>
    <w:rsid w:val="00B0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2017-03-06T13:00:00Z</dcterms:created>
  <dcterms:modified xsi:type="dcterms:W3CDTF">2017-03-06T13:00:00Z</dcterms:modified>
</cp:coreProperties>
</file>